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Working Day</w:t>
      </w:r>
      <w:r w:rsidRPr="00356B71">
        <w:rPr>
          <w:rFonts w:ascii="Verdana" w:hAnsi="Verdana"/>
          <w:sz w:val="19"/>
          <w:szCs w:val="19"/>
          <w:lang w:val="en-GB"/>
        </w:rPr>
        <w:t xml:space="preserve"> shall mean all Days, excluding public holidays in Denmark, 5 June (Constitution Day), 24 December and 31 December. 1 May is a Working Day.</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Day</w:t>
      </w:r>
      <w:r w:rsidRPr="00356B71">
        <w:rPr>
          <w:rFonts w:ascii="Verdana" w:hAnsi="Verdana"/>
          <w:sz w:val="19"/>
          <w:szCs w:val="19"/>
          <w:lang w:val="en-GB"/>
        </w:rPr>
        <w:t xml:space="preserve"> shall mean any calendar day.</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Documentation</w:t>
      </w:r>
      <w:r w:rsidRPr="00356B71">
        <w:rPr>
          <w:rFonts w:ascii="Verdana" w:hAnsi="Verdana"/>
          <w:sz w:val="19"/>
          <w:szCs w:val="19"/>
          <w:lang w:val="en-GB"/>
        </w:rPr>
        <w:t xml:space="preserve"> shall mean any description related to the delivery or use of the Services described in the Contract.</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color w:val="FF0000"/>
          <w:sz w:val="19"/>
          <w:szCs w:val="19"/>
          <w:lang w:val="en-GB"/>
        </w:rPr>
      </w:pPr>
      <w:r w:rsidRPr="00356B71">
        <w:rPr>
          <w:rFonts w:ascii="Verdana" w:hAnsi="Verdana"/>
          <w:b/>
          <w:bCs/>
          <w:sz w:val="19"/>
          <w:szCs w:val="19"/>
          <w:lang w:val="en-GB"/>
        </w:rPr>
        <w:t>Operating Environment</w:t>
      </w:r>
      <w:r w:rsidRPr="00356B71">
        <w:rPr>
          <w:rFonts w:ascii="Verdana" w:hAnsi="Verdana"/>
          <w:sz w:val="19"/>
          <w:szCs w:val="19"/>
          <w:lang w:val="en-GB"/>
        </w:rPr>
        <w:t xml:space="preserve"> shall mean the IT environments to be made available by the Supplier in the course of performance of the Contract. </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Due Diligence Information</w:t>
      </w:r>
      <w:r w:rsidRPr="00356B71">
        <w:rPr>
          <w:rFonts w:ascii="Verdana" w:hAnsi="Verdana"/>
          <w:sz w:val="19"/>
          <w:szCs w:val="19"/>
          <w:lang w:val="en-GB"/>
        </w:rPr>
        <w:t xml:space="preserve"> shall mean information, materials and other documentation as described in Annex 2b and Annex 3a or which is otherwise delivered by the Customer to the Supplier or collected by the Supplier, e.g. by inspection of the Customer's IT environment, before signing of the Contract </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Transfer Plan</w:t>
      </w:r>
      <w:r w:rsidRPr="00356B71">
        <w:rPr>
          <w:rFonts w:ascii="Verdana" w:hAnsi="Verdana"/>
          <w:sz w:val="19"/>
          <w:szCs w:val="19"/>
          <w:lang w:val="en-GB"/>
        </w:rPr>
        <w:t xml:space="preserve"> shall mean a plan for the transfer of tasks from the Supplier to the Customer or a third party in connection with a total or partial termination, cf. clause 15 and Annex 4d to the Contract.</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 xml:space="preserve">Take over Date </w:t>
      </w:r>
      <w:r w:rsidRPr="00356B71">
        <w:rPr>
          <w:rFonts w:ascii="Verdana" w:hAnsi="Verdana"/>
          <w:sz w:val="19"/>
          <w:szCs w:val="19"/>
          <w:lang w:val="en-GB"/>
        </w:rPr>
        <w:t>shall mean the Day when the Supplier passes the take over</w:t>
      </w:r>
      <w:bookmarkStart w:id="0" w:name="_GoBack"/>
      <w:bookmarkEnd w:id="0"/>
      <w:r w:rsidRPr="00356B71">
        <w:rPr>
          <w:rFonts w:ascii="Verdana" w:hAnsi="Verdana"/>
          <w:sz w:val="19"/>
          <w:szCs w:val="19"/>
          <w:lang w:val="en-GB"/>
        </w:rPr>
        <w:t xml:space="preserve"> test, cf. Annex 3g.</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The Parties</w:t>
      </w:r>
      <w:r w:rsidRPr="00356B71">
        <w:rPr>
          <w:rFonts w:ascii="Verdana" w:hAnsi="Verdana"/>
          <w:sz w:val="19"/>
          <w:szCs w:val="19"/>
          <w:lang w:val="en-GB"/>
        </w:rPr>
        <w:t xml:space="preserve"> shall mean the Customer and the Supplier, and "Party" shall mean one of these.</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General Data Protection Regulation</w:t>
      </w:r>
      <w:r w:rsidRPr="00356B71">
        <w:rPr>
          <w:rFonts w:ascii="Verdana" w:hAnsi="Verdana"/>
          <w:sz w:val="19"/>
          <w:szCs w:val="19"/>
          <w:lang w:val="en-GB"/>
        </w:rPr>
        <w:t xml:space="preserve"> shall mean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b/>
          <w:bCs/>
          <w:sz w:val="19"/>
          <w:szCs w:val="19"/>
          <w:lang w:val="en-GB"/>
        </w:rPr>
      </w:pPr>
      <w:r w:rsidRPr="00356B71">
        <w:rPr>
          <w:rFonts w:ascii="Verdana" w:hAnsi="Verdana"/>
          <w:b/>
          <w:bCs/>
          <w:sz w:val="19"/>
          <w:szCs w:val="19"/>
          <w:lang w:val="en-GB"/>
        </w:rPr>
        <w:t>Cooperation Organisation</w:t>
      </w:r>
      <w:r w:rsidRPr="00356B71">
        <w:rPr>
          <w:rFonts w:ascii="Verdana" w:hAnsi="Verdana"/>
          <w:sz w:val="19"/>
          <w:szCs w:val="19"/>
          <w:lang w:val="en-GB"/>
        </w:rPr>
        <w:t xml:space="preserve"> shall mean the organisation established pursuant to Annex 8 for the purpose of the Parties' cooperation.</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 xml:space="preserve">Service Targets </w:t>
      </w:r>
      <w:r w:rsidRPr="00356B71">
        <w:rPr>
          <w:rFonts w:ascii="Verdana" w:hAnsi="Verdana"/>
          <w:sz w:val="19"/>
          <w:szCs w:val="19"/>
          <w:lang w:val="en-GB"/>
        </w:rPr>
        <w:t xml:space="preserve">shall mean the agreed targets for a Service specified in Annex 7. </w:t>
      </w:r>
    </w:p>
    <w:p w:rsidR="004C25CF" w:rsidRDefault="004C25CF" w:rsidP="00053BB0">
      <w:pPr>
        <w:jc w:val="both"/>
        <w:rPr>
          <w:rFonts w:ascii="Verdana" w:hAnsi="Verdana"/>
          <w:b/>
          <w:bCs/>
          <w:sz w:val="19"/>
          <w:szCs w:val="19"/>
          <w:lang w:val="en-GB"/>
        </w:rPr>
      </w:pPr>
    </w:p>
    <w:p w:rsidR="00053BB0" w:rsidRPr="00356B71" w:rsidRDefault="00053BB0" w:rsidP="00053BB0">
      <w:pPr>
        <w:jc w:val="both"/>
        <w:rPr>
          <w:rFonts w:ascii="Verdana" w:hAnsi="Verdana"/>
          <w:sz w:val="19"/>
          <w:szCs w:val="19"/>
          <w:lang w:val="en-GB"/>
        </w:rPr>
      </w:pPr>
      <w:r w:rsidRPr="00356B71">
        <w:rPr>
          <w:rFonts w:ascii="Verdana" w:hAnsi="Verdana"/>
          <w:b/>
          <w:bCs/>
          <w:sz w:val="19"/>
          <w:szCs w:val="19"/>
          <w:lang w:val="en-GB"/>
        </w:rPr>
        <w:t>Services</w:t>
      </w:r>
      <w:r w:rsidRPr="00356B71">
        <w:rPr>
          <w:rFonts w:ascii="Verdana" w:hAnsi="Verdana"/>
          <w:sz w:val="19"/>
          <w:szCs w:val="19"/>
          <w:lang w:val="en-GB"/>
        </w:rPr>
        <w:t xml:space="preserve"> shall mean the services to be provided by the Supplier pursuant to the Contract, including Annex 4.</w:t>
      </w:r>
    </w:p>
    <w:p w:rsidR="00E27063" w:rsidRPr="00356B71" w:rsidRDefault="00E27063">
      <w:pPr>
        <w:rPr>
          <w:lang w:val="en-GB"/>
        </w:rPr>
      </w:pPr>
    </w:p>
    <w:sectPr w:rsidR="00E27063" w:rsidRPr="00356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B0"/>
    <w:rsid w:val="00053BB0"/>
    <w:rsid w:val="00356B71"/>
    <w:rsid w:val="004C25CF"/>
    <w:rsid w:val="00887969"/>
    <w:rsid w:val="00E270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CED91-5FCA-4F3C-9CEA-4A105F0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BB0"/>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9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1536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Furholm Kjaergaard</dc:creator>
  <cp:keywords/>
  <dc:description/>
  <cp:lastModifiedBy>Christina Stage</cp:lastModifiedBy>
  <cp:revision>2</cp:revision>
  <dcterms:created xsi:type="dcterms:W3CDTF">2017-04-26T07:13:00Z</dcterms:created>
  <dcterms:modified xsi:type="dcterms:W3CDTF">2017-04-26T07:13:00Z</dcterms:modified>
</cp:coreProperties>
</file>